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89"/>
        <w:gridCol w:w="3972"/>
      </w:tblGrid>
      <w:tr w:rsidR="00BF1BF3" w:rsidRPr="00AE4773" w:rsidTr="00823B76">
        <w:trPr>
          <w:tblCellSpacing w:w="15" w:type="dxa"/>
        </w:trPr>
        <w:tc>
          <w:tcPr>
            <w:tcW w:w="0" w:type="auto"/>
            <w:shd w:val="clear" w:color="auto" w:fill="990000"/>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vildagliptine </w:t>
            </w:r>
          </w:p>
        </w:tc>
        <w:tc>
          <w:tcPr>
            <w:tcW w:w="0" w:type="auto"/>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Verdana" w:eastAsia="Times New Roman" w:hAnsi="Verdana" w:cs="Times New Roman"/>
                <w:b/>
                <w:bCs/>
                <w:color w:val="990000"/>
                <w:sz w:val="24"/>
                <w:szCs w:val="24"/>
                <w:lang w:eastAsia="fr-FR"/>
              </w:rPr>
              <w:t>EFFETS INDÉSIRABLES</w:t>
            </w:r>
            <w:r w:rsidRPr="00AE4773">
              <w:rPr>
                <w:rFonts w:ascii="Times New Roman" w:eastAsia="Times New Roman" w:hAnsi="Times New Roman" w:cs="Times New Roman"/>
                <w:color w:val="000000"/>
                <w:sz w:val="24"/>
                <w:szCs w:val="24"/>
                <w:lang w:eastAsia="fr-FR"/>
              </w:rPr>
              <w:t> </w:t>
            </w:r>
            <w:hyperlink w:anchor="pub" w:history="1">
              <w:r w:rsidRPr="00AE4773">
                <w:rPr>
                  <w:rFonts w:ascii="Arial" w:eastAsia="Times New Roman" w:hAnsi="Arial" w:cs="Arial"/>
                  <w:color w:val="990000"/>
                  <w:sz w:val="20"/>
                  <w:u w:val="single"/>
                  <w:vertAlign w:val="superscript"/>
                  <w:lang w:eastAsia="fr-FR"/>
                </w:rPr>
                <w:t>(début page)</w:t>
              </w:r>
            </w:hyperlink>
            <w:r w:rsidRPr="00AE4773">
              <w:rPr>
                <w:rFonts w:ascii="Times New Roman" w:eastAsia="Times New Roman" w:hAnsi="Times New Roman" w:cs="Times New Roman"/>
                <w:color w:val="000000"/>
                <w:sz w:val="24"/>
                <w:szCs w:val="24"/>
                <w:lang w:eastAsia="fr-FR"/>
              </w:rPr>
              <w:t xml:space="preserve"> </w:t>
            </w:r>
          </w:p>
        </w:tc>
      </w:tr>
    </w:tbl>
    <w:p w:rsidR="00BF1BF3" w:rsidRPr="00AE4773" w:rsidRDefault="00BF1BF3" w:rsidP="00BF1BF3">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b/>
          <w:bCs/>
          <w:i/>
          <w:iCs/>
          <w:color w:val="000000"/>
          <w:sz w:val="24"/>
          <w:szCs w:val="24"/>
          <w:lang w:eastAsia="fr-FR"/>
        </w:rPr>
        <w:t>Résumé du profil de sécurité :</w:t>
      </w:r>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Les données de tolérance proviennent d'un total de 3784 patients traités par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à une dose quotidienne de 50 mg (une fois par jour) ou 100 mg (50 mg deux fois par jour ou 100 mg une fois par jour) dans des études contrôlées d'une durée d'au moins 12 semaines. Parmi ces patients, 2264 ont reçu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monothérapie et 1520 ont reçu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un autre médicament. 2682 patients ont reçu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ou 100 mg une fois par jour) et 1102 patients ont reçu 50 mg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une fois par jour.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La majorité des effets indésirables observés dans ces études étaient modérés et transitoires et n'ont pas nécessité d'arrêt de traitement. Aucune relation n'a été constatée entre les effets indésirables et l'âge, l'origine ethnique, la durée de l'exposition ou la dose quotidienne.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 rares cas de dysfonctionnement hépatique (incluant des hépatites) ont été observés. Dans ces cas, les patients étaient généralement asymptomatiques sans séquelles cliniques et présentaient un retour à la normale du bilan hépatique après l'arrêt du traitement. Dans les essais contrôlés en monothérapie et en association, d'une durée allant jusqu'à 24 semaines, l'incidence des élévations des taux d'ALAT ou d'ASAT &gt;= 3 × LSN (présentes lors d'au moins deux dosages consécutifs ou lors de la dernière visite sous traitement) a été respectivement de 0,2 %, 0,3 % et 0,2 % pour 50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tous les comparateurs. Ces élévations des transaminases ont été généralement asymptomatiques, non évolutives et n'ont pas été accompagnées de </w:t>
      </w:r>
      <w:proofErr w:type="spellStart"/>
      <w:r w:rsidRPr="00AE4773">
        <w:rPr>
          <w:rFonts w:ascii="Times New Roman" w:eastAsia="Times New Roman" w:hAnsi="Times New Roman" w:cs="Times New Roman"/>
          <w:color w:val="000000"/>
          <w:sz w:val="24"/>
          <w:szCs w:val="24"/>
          <w:lang w:eastAsia="fr-FR"/>
        </w:rPr>
        <w:t>cholestase</w:t>
      </w:r>
      <w:proofErr w:type="spellEnd"/>
      <w:r w:rsidRPr="00AE4773">
        <w:rPr>
          <w:rFonts w:ascii="Times New Roman" w:eastAsia="Times New Roman" w:hAnsi="Times New Roman" w:cs="Times New Roman"/>
          <w:color w:val="000000"/>
          <w:sz w:val="24"/>
          <w:szCs w:val="24"/>
          <w:lang w:eastAsia="fr-FR"/>
        </w:rPr>
        <w:t xml:space="preserve"> ou d'ictère.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De rares cas d'</w:t>
      </w:r>
      <w:proofErr w:type="spellStart"/>
      <w:r w:rsidRPr="00AE4773">
        <w:rPr>
          <w:rFonts w:ascii="Times New Roman" w:eastAsia="Times New Roman" w:hAnsi="Times New Roman" w:cs="Times New Roman"/>
          <w:color w:val="000000"/>
          <w:sz w:val="24"/>
          <w:szCs w:val="24"/>
          <w:lang w:eastAsia="fr-FR"/>
        </w:rPr>
        <w:t>angioedèmes</w:t>
      </w:r>
      <w:proofErr w:type="spellEnd"/>
      <w:r w:rsidRPr="00AE4773">
        <w:rPr>
          <w:rFonts w:ascii="Times New Roman" w:eastAsia="Times New Roman" w:hAnsi="Times New Roman" w:cs="Times New Roman"/>
          <w:color w:val="000000"/>
          <w:sz w:val="24"/>
          <w:szCs w:val="24"/>
          <w:lang w:eastAsia="fr-FR"/>
        </w:rPr>
        <w:t xml:space="preserve"> ont été rapportés sous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à un taux comparable à celui des groupes contrôles. Une proportion plus importante de cas a été observée lorsque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administrée en association avec un inhibiteur de l'enzyme de conversion de l'angiotensine (IEC). La majorité des événements étaient d'intensité faible et se sont résolus au cours du traitement par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b/>
          <w:bCs/>
          <w:i/>
          <w:iCs/>
          <w:color w:val="000000"/>
          <w:sz w:val="24"/>
          <w:szCs w:val="24"/>
          <w:lang w:eastAsia="fr-FR"/>
        </w:rPr>
        <w:t>Liste tabulée des effets indésirables :</w:t>
      </w:r>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Les effets indésirables rapportés dans les études en double aveugle chez les patients traités par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en monothérapie et en association sont listés ci-dessous pour chaque indication par classe de systèmes d'organes et fréquence absolue. Les fréquences sont définies comme suit : très fréquent (&gt;= 1/10), fréquent (&gt;= 1/100, &lt; 1/10), peu fréquent (&gt;= 1/1000, &lt; 1/100), rare (&gt;= 1/10 000, &lt; 1/1000), très rare (&lt; 1/10 000), fréquence indéterminée (ne peut être estimée sur la base des données disponibles). Au sein de chaque groupe de fréquence, les effets indésirables doivent être présentés suivant un ordre décroissant de gravité.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Association avec la </w:t>
      </w:r>
      <w:proofErr w:type="spellStart"/>
      <w:r w:rsidRPr="00AE4773">
        <w:rPr>
          <w:rFonts w:ascii="Times New Roman" w:eastAsia="Times New Roman" w:hAnsi="Times New Roman" w:cs="Times New Roman"/>
          <w:i/>
          <w:iCs/>
          <w:color w:val="000000"/>
          <w:sz w:val="24"/>
          <w:szCs w:val="24"/>
          <w:lang w:eastAsia="fr-FR"/>
        </w:rPr>
        <w:t>metformine</w:t>
      </w:r>
      <w:proofErr w:type="spellEnd"/>
      <w:r w:rsidRPr="00AE4773">
        <w:rPr>
          <w:rFonts w:ascii="Times New Roman" w:eastAsia="Times New Roman" w:hAnsi="Times New Roman" w:cs="Times New Roman"/>
          <w:i/>
          <w:iCs/>
          <w:color w:val="000000"/>
          <w:sz w:val="24"/>
          <w:szCs w:val="24"/>
          <w:lang w:eastAsia="fr-FR"/>
        </w:rPr>
        <w:t xml:space="preserve">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83"/>
        <w:gridCol w:w="6719"/>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1 : Effets indésirables rapportés chez les patients ayant reçu 100 mg par jour de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dans les études en double aveugle (N = 208)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Hypoglycémie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Tremblements, céphalées, sensations vertigineuses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Fatigue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lastRenderedPageBreak/>
              <w:t>Affections gastro-intestinales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Nausées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contrôlés avec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aucune sortie d'essai due à des effets indésirables n'a été observée dans le groupe traité par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ni dans le groupe traité par le placebo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l'incidence des épisodes d'hypoglycémie a été fréquente (1 %) chez les patients recevant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et peu fréquente (0,4 %) chez les patients recevant le placebo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Aucun événement hypoglycémique sévère n'a été observé dans les groupes recevant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aucune variation du poids n'a été observée par rapport aux valeurs initiales lorsque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ont été ajoutés à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(+ 0,2 kg et - 1,0 kg pour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le placebo respectivement).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Aucun nouveau signal de tolérance ou de risque non déjà connu n'a été observé dans des études cliniques d'une durée de 2 ans ou plus chez des patients traités par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Association avec un sulfamide hypoglycémiant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8"/>
        <w:gridCol w:w="6894"/>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2 : Effets indésirables rapportés chez les patients ayant reçu 50 mg de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en association avec un sulfamide hypoglycémiant dans les études en double aveugle (N = 170)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Infections et infestations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Rhinopharyngite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Hypoglycémie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Tremblements, céphalées, sensations vertigineuses, asthénie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gastro-intestinales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Constipation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contrôlés avec 50 mg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un sulfamide hypoglycémiant, l'incidence globale des sorties d'essai dues à des effets indésirables a été de 0,6 % dans le groupe traité par 50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un sulfamide hypoglycémiant versus 0 % dans le groupe traité par le placebo en association avec un sulfamide hypoglycémiant.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l'incidence des épisodes d'hypoglycémie a été de 1,2 % lorsque 50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ont été ajoutés au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versus 0,6 % pour l'association du placebo avec le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Aucun épisode hypoglycémique sévère n'a été observé dans les groupes recevant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aucune variation du poids par rapport aux valeurs initiales n'a été observée lorsque 50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ont été ajoutés au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(- 0,1 kg et - 0,4 kg pour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le placebo respectivement).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Association avec une </w:t>
      </w:r>
      <w:proofErr w:type="spellStart"/>
      <w:r w:rsidRPr="00AE4773">
        <w:rPr>
          <w:rFonts w:ascii="Times New Roman" w:eastAsia="Times New Roman" w:hAnsi="Times New Roman" w:cs="Times New Roman"/>
          <w:i/>
          <w:iCs/>
          <w:color w:val="000000"/>
          <w:sz w:val="24"/>
          <w:szCs w:val="24"/>
          <w:lang w:eastAsia="fr-FR"/>
        </w:rPr>
        <w:t>thiazolidinedione</w:t>
      </w:r>
      <w:proofErr w:type="spellEnd"/>
      <w:r w:rsidRPr="00AE4773">
        <w:rPr>
          <w:rFonts w:ascii="Times New Roman" w:eastAsia="Times New Roman" w:hAnsi="Times New Roman" w:cs="Times New Roman"/>
          <w:i/>
          <w:iCs/>
          <w:color w:val="000000"/>
          <w:sz w:val="24"/>
          <w:szCs w:val="24"/>
          <w:lang w:eastAsia="fr-FR"/>
        </w:rPr>
        <w:t xml:space="preserve">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96"/>
        <w:gridCol w:w="5506"/>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3 : Effets indésirables rapportés chez les patients ayant reçu 100 mg par jour de </w:t>
            </w:r>
            <w:proofErr w:type="spellStart"/>
            <w:r>
              <w:rPr>
                <w:rFonts w:ascii="Times New Roman" w:eastAsia="Times New Roman" w:hAnsi="Times New Roman" w:cs="Times New Roman"/>
                <w:color w:val="000000"/>
                <w:sz w:val="24"/>
                <w:szCs w:val="24"/>
                <w:lang w:eastAsia="fr-FR"/>
              </w:rPr>
              <w:lastRenderedPageBreak/>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en association avec une </w:t>
            </w:r>
            <w:proofErr w:type="spellStart"/>
            <w:r w:rsidRPr="00AE4773">
              <w:rPr>
                <w:rFonts w:ascii="Times New Roman" w:eastAsia="Times New Roman" w:hAnsi="Times New Roman" w:cs="Times New Roman"/>
                <w:color w:val="000000"/>
                <w:sz w:val="24"/>
                <w:szCs w:val="24"/>
                <w:lang w:eastAsia="fr-FR"/>
              </w:rPr>
              <w:t>thiazolidinedione</w:t>
            </w:r>
            <w:proofErr w:type="spellEnd"/>
            <w:r w:rsidRPr="00AE4773">
              <w:rPr>
                <w:rFonts w:ascii="Times New Roman" w:eastAsia="Times New Roman" w:hAnsi="Times New Roman" w:cs="Times New Roman"/>
                <w:color w:val="000000"/>
                <w:sz w:val="24"/>
                <w:szCs w:val="24"/>
                <w:lang w:eastAsia="fr-FR"/>
              </w:rPr>
              <w:t xml:space="preserve"> dans les études en double aveugle (N = 158)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lastRenderedPageBreak/>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Prise de poids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Hypoglycémie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Céphalées, asthénie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vasculaires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OEdèmes</w:t>
            </w:r>
            <w:proofErr w:type="spellEnd"/>
            <w:r w:rsidRPr="00AE4773">
              <w:rPr>
                <w:rFonts w:ascii="Times New Roman" w:eastAsia="Times New Roman" w:hAnsi="Times New Roman" w:cs="Times New Roman"/>
                <w:color w:val="000000"/>
                <w:sz w:val="24"/>
                <w:szCs w:val="24"/>
                <w:lang w:eastAsia="fr-FR"/>
              </w:rPr>
              <w:t xml:space="preserve"> périphériques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contrôlés avec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une </w:t>
      </w:r>
      <w:proofErr w:type="spellStart"/>
      <w:r w:rsidRPr="00AE4773">
        <w:rPr>
          <w:rFonts w:ascii="Times New Roman" w:eastAsia="Times New Roman" w:hAnsi="Times New Roman" w:cs="Times New Roman"/>
          <w:color w:val="000000"/>
          <w:sz w:val="24"/>
          <w:szCs w:val="24"/>
          <w:lang w:eastAsia="fr-FR"/>
        </w:rPr>
        <w:t>thiazolidinedione</w:t>
      </w:r>
      <w:proofErr w:type="spellEnd"/>
      <w:r w:rsidRPr="00AE4773">
        <w:rPr>
          <w:rFonts w:ascii="Times New Roman" w:eastAsia="Times New Roman" w:hAnsi="Times New Roman" w:cs="Times New Roman"/>
          <w:color w:val="000000"/>
          <w:sz w:val="24"/>
          <w:szCs w:val="24"/>
          <w:lang w:eastAsia="fr-FR"/>
        </w:rPr>
        <w:t xml:space="preserve">, aucune sortie d'essai due à des effets indésirables n'a été observée dans le groupe traité par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une </w:t>
      </w:r>
      <w:proofErr w:type="spellStart"/>
      <w:r w:rsidRPr="00AE4773">
        <w:rPr>
          <w:rFonts w:ascii="Times New Roman" w:eastAsia="Times New Roman" w:hAnsi="Times New Roman" w:cs="Times New Roman"/>
          <w:color w:val="000000"/>
          <w:sz w:val="24"/>
          <w:szCs w:val="24"/>
          <w:lang w:eastAsia="fr-FR"/>
        </w:rPr>
        <w:t>thiazolidinedione</w:t>
      </w:r>
      <w:proofErr w:type="spellEnd"/>
      <w:r w:rsidRPr="00AE4773">
        <w:rPr>
          <w:rFonts w:ascii="Times New Roman" w:eastAsia="Times New Roman" w:hAnsi="Times New Roman" w:cs="Times New Roman"/>
          <w:color w:val="000000"/>
          <w:sz w:val="24"/>
          <w:szCs w:val="24"/>
          <w:lang w:eastAsia="fr-FR"/>
        </w:rPr>
        <w:t xml:space="preserve"> ni dans le groupe traité par le placebo en association avec une </w:t>
      </w:r>
      <w:proofErr w:type="spellStart"/>
      <w:r w:rsidRPr="00AE4773">
        <w:rPr>
          <w:rFonts w:ascii="Times New Roman" w:eastAsia="Times New Roman" w:hAnsi="Times New Roman" w:cs="Times New Roman"/>
          <w:color w:val="000000"/>
          <w:sz w:val="24"/>
          <w:szCs w:val="24"/>
          <w:lang w:eastAsia="fr-FR"/>
        </w:rPr>
        <w:t>thiazolidinedione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les épisodes d'hypoglycémie ont été peu fréquents (0,6 %) chez les patients recevant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 mais ces épisodes ont été fréquents (1,9 %) chez les patients recevant le placebo en association avec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Aucun événement hypoglycémique sévère n'a été observé dans les groupes recevant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l'étude en association avec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les augmentations de poids par rapport aux valeurs initiales étaient de 1,4 et 2,7 kg avec le placebo et avec 100 mg par jour de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respectivement.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Lorsque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ont été ajoutés au traitement de fond par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à une dose maximale (45 mg une fois par jour), l'incidence des </w:t>
      </w:r>
      <w:proofErr w:type="spellStart"/>
      <w:r w:rsidRPr="00AE4773">
        <w:rPr>
          <w:rFonts w:ascii="Times New Roman" w:eastAsia="Times New Roman" w:hAnsi="Times New Roman" w:cs="Times New Roman"/>
          <w:color w:val="000000"/>
          <w:sz w:val="24"/>
          <w:szCs w:val="24"/>
          <w:lang w:eastAsia="fr-FR"/>
        </w:rPr>
        <w:t>oedèmes</w:t>
      </w:r>
      <w:proofErr w:type="spellEnd"/>
      <w:r w:rsidRPr="00AE4773">
        <w:rPr>
          <w:rFonts w:ascii="Times New Roman" w:eastAsia="Times New Roman" w:hAnsi="Times New Roman" w:cs="Times New Roman"/>
          <w:color w:val="000000"/>
          <w:sz w:val="24"/>
          <w:szCs w:val="24"/>
          <w:lang w:eastAsia="fr-FR"/>
        </w:rPr>
        <w:t xml:space="preserve"> périphériques a été de 7,0 % en comparaison de 2,5 % pour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en monothérapie.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Monothérapie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08"/>
        <w:gridCol w:w="6794"/>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4 : Effets indésirables rapportés chez les patients ayant reçu 100 mg par jour de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en monothérapie dans les études en double aveugle (N = 1855)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Infections et infestations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Infection du tractus respiratoire supérieur, </w:t>
            </w:r>
            <w:proofErr w:type="spellStart"/>
            <w:r w:rsidRPr="00AE4773">
              <w:rPr>
                <w:rFonts w:ascii="Times New Roman" w:eastAsia="Times New Roman" w:hAnsi="Times New Roman" w:cs="Times New Roman"/>
                <w:color w:val="000000"/>
                <w:sz w:val="24"/>
                <w:szCs w:val="24"/>
                <w:lang w:eastAsia="fr-FR"/>
              </w:rPr>
              <w:t>nasopharyngite</w:t>
            </w:r>
            <w:proofErr w:type="spellEnd"/>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Hypoglycémie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Sensations vertigineuses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Céphalées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vasculaires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OEdèmes</w:t>
            </w:r>
            <w:proofErr w:type="spellEnd"/>
            <w:r w:rsidRPr="00AE4773">
              <w:rPr>
                <w:rFonts w:ascii="Times New Roman" w:eastAsia="Times New Roman" w:hAnsi="Times New Roman" w:cs="Times New Roman"/>
                <w:color w:val="000000"/>
                <w:sz w:val="24"/>
                <w:szCs w:val="24"/>
                <w:lang w:eastAsia="fr-FR"/>
              </w:rPr>
              <w:t xml:space="preserve"> périphériques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gastro-intestinales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Constipation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Affections </w:t>
            </w:r>
            <w:proofErr w:type="spellStart"/>
            <w:r w:rsidRPr="00AE4773">
              <w:rPr>
                <w:rFonts w:ascii="Times New Roman" w:eastAsia="Times New Roman" w:hAnsi="Times New Roman" w:cs="Times New Roman"/>
                <w:i/>
                <w:iCs/>
                <w:color w:val="000000"/>
                <w:sz w:val="24"/>
                <w:szCs w:val="24"/>
                <w:lang w:eastAsia="fr-FR"/>
              </w:rPr>
              <w:t>musculosquelettiques</w:t>
            </w:r>
            <w:proofErr w:type="spellEnd"/>
            <w:r w:rsidRPr="00AE4773">
              <w:rPr>
                <w:rFonts w:ascii="Times New Roman" w:eastAsia="Times New Roman" w:hAnsi="Times New Roman" w:cs="Times New Roman"/>
                <w:i/>
                <w:iCs/>
                <w:color w:val="000000"/>
                <w:sz w:val="24"/>
                <w:szCs w:val="24"/>
                <w:lang w:eastAsia="fr-FR"/>
              </w:rPr>
              <w:t xml:space="preserve"> et systémiques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lastRenderedPageBreak/>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Arthralgie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 plus, dans les essais contrôlés en monothérapie réalisés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l'incidence globale des sorties d'essai pour effets indésirables n'a pas été plus élevée chez les patients traités par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(0,3 %) en comparaison à ceux ayant reçu le placebo (0,6 %) ou les comparateurs (0,5 %).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études comparatives contrôlées en monothérapie, les épisodes d'hypoglycémie ont été peu fréquents, observés chez 0,4 % (7 cas sur 1855) des patients traités par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comparaison à 0,2 % (2 cas sur 1082) des patients traités par un comparateur actif ou le placebo ; aucun événement grave ou sévère n'a été observé.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aucune variation de poids par rapport aux valeurs initiales n'a été observée pour 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administrés en monothérapie (- 0,3 kg et - 1,3 kg respectivement pour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le placebo).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Aucun nouveau signal de tolérance ou de risque non déjà connu n'a été observé dans des études d'une durée jusqu'à 2 ans chez des patients traités par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monothérapie.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 xml:space="preserve">Association avec la </w:t>
      </w:r>
      <w:proofErr w:type="spellStart"/>
      <w:r w:rsidRPr="00AE4773">
        <w:rPr>
          <w:rFonts w:ascii="Times New Roman" w:eastAsia="Times New Roman" w:hAnsi="Times New Roman" w:cs="Times New Roman"/>
          <w:i/>
          <w:iCs/>
          <w:color w:val="000000"/>
          <w:sz w:val="24"/>
          <w:szCs w:val="24"/>
          <w:lang w:eastAsia="fr-FR"/>
        </w:rPr>
        <w:t>metformine</w:t>
      </w:r>
      <w:proofErr w:type="spellEnd"/>
      <w:r w:rsidRPr="00AE4773">
        <w:rPr>
          <w:rFonts w:ascii="Times New Roman" w:eastAsia="Times New Roman" w:hAnsi="Times New Roman" w:cs="Times New Roman"/>
          <w:i/>
          <w:iCs/>
          <w:color w:val="000000"/>
          <w:sz w:val="24"/>
          <w:szCs w:val="24"/>
          <w:lang w:eastAsia="fr-FR"/>
        </w:rPr>
        <w:t xml:space="preserve"> et un sulfamide hypoglycémiant :</w:t>
      </w:r>
      <w:r w:rsidRPr="00AE4773">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73"/>
        <w:gridCol w:w="6429"/>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5 : Effets indésirables rapportés chez les patients ayant reçu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50 mg deux fois par jour en association avec de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et un sulfamide hypoglycémiant (N = 157)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Hypoglycémie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Sensations vertigineuses, tremblements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de la peau et du tissu sous-cutané</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Hyperhidrose</w:t>
            </w:r>
            <w:proofErr w:type="spellEnd"/>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généraux et anomalies au site d'administration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Asthénie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Il n'y a eu aucune sortie d'étude due à des effets indésirables rapportés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versus 0,6 % dans le groupe placebo +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L'incidence des épisodes d'hypoglycémie était fréquente dans les deux groupes (5,1 % pour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versus 1,9 % pour le groupe placebo +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Un événement hypoglycémique sévère a été rapporté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 la fin de l'étude, l'effet sur le poids corporel moyen était neutre (+ 0,6 kg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- 0,1 kg dans le groupe placebo).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Association avec de l'insuline :</w:t>
      </w:r>
      <w:r w:rsidRPr="00AE4773">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9"/>
        <w:gridCol w:w="5913"/>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6 : Effets indésirables rapportés chez les patients ayant reçu </w:t>
            </w:r>
            <w:proofErr w:type="spellStart"/>
            <w:r>
              <w:rPr>
                <w:rFonts w:ascii="Times New Roman" w:eastAsia="Times New Roman" w:hAnsi="Times New Roman" w:cs="Times New Roman"/>
                <w:color w:val="000000"/>
                <w:sz w:val="24"/>
                <w:szCs w:val="24"/>
                <w:lang w:eastAsia="fr-FR"/>
              </w:rPr>
              <w:t>Vildagliptine</w:t>
            </w:r>
            <w:proofErr w:type="spellEnd"/>
            <w:r>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4"/>
                <w:szCs w:val="24"/>
                <w:lang w:eastAsia="fr-FR"/>
              </w:rPr>
              <w:t xml:space="preserve"> 100 mg par jour en association avec de l'insuline (avec ou sans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dans des études en double aveugle (N = 371)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Troubles du métabolisme et de la nutrition</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Diminution de la glycémie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lastRenderedPageBreak/>
              <w:t>Affections du système nerveux</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Maux de tête, frissons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gastro-intestinales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Nausées, reflux </w:t>
            </w:r>
            <w:proofErr w:type="spellStart"/>
            <w:r w:rsidRPr="00AE4773">
              <w:rPr>
                <w:rFonts w:ascii="Times New Roman" w:eastAsia="Times New Roman" w:hAnsi="Times New Roman" w:cs="Times New Roman"/>
                <w:color w:val="000000"/>
                <w:sz w:val="24"/>
                <w:szCs w:val="24"/>
                <w:lang w:eastAsia="fr-FR"/>
              </w:rPr>
              <w:t>gastro</w:t>
            </w:r>
            <w:proofErr w:type="spellEnd"/>
            <w:r w:rsidRPr="00AE4773">
              <w:rPr>
                <w:rFonts w:ascii="Times New Roman" w:eastAsia="Times New Roman" w:hAnsi="Times New Roman" w:cs="Times New Roman"/>
                <w:color w:val="000000"/>
                <w:sz w:val="24"/>
                <w:szCs w:val="24"/>
                <w:lang w:eastAsia="fr-FR"/>
              </w:rPr>
              <w:t>-</w:t>
            </w:r>
            <w:proofErr w:type="spellStart"/>
            <w:r w:rsidRPr="00AE4773">
              <w:rPr>
                <w:rFonts w:ascii="Times New Roman" w:eastAsia="Times New Roman" w:hAnsi="Times New Roman" w:cs="Times New Roman"/>
                <w:color w:val="000000"/>
                <w:sz w:val="24"/>
                <w:szCs w:val="24"/>
                <w:lang w:eastAsia="fr-FR"/>
              </w:rPr>
              <w:t>oesophagien</w:t>
            </w:r>
            <w:proofErr w:type="spellEnd"/>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Diarrhées, flatulences </w:t>
            </w:r>
          </w:p>
        </w:tc>
      </w:tr>
    </w:tbl>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Description des effets indésirables sélectionnés :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les essais cliniques contrôlés utilisant 50 mg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deux fois par jour en association avec de l'insuline, avec ou sans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l'incidence moyenne de sortie d'étude due aux effets indésirables était de 0,3 %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aucune dans le groupe placebo.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L'incidence des épisodes d'hypoglycémie était similaire dans les deux groupes de traitement (14,0 %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versus 16,4 % dans le groupe placebo). Deux patients ont rapporté des événements hypoglycémiques sévères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6 patients dans le groupe placebo. </w:t>
      </w:r>
    </w:p>
    <w:p w:rsidR="00BF1BF3" w:rsidRPr="00AE4773" w:rsidRDefault="00BF1BF3" w:rsidP="00BF1BF3">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A la fin de l'étude, l'effet sur le poids moyen corporel était neutre (+ 0,6 kg par rapport aux valeurs initiales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aucun changement de poids dans le groupe placebo). </w:t>
      </w:r>
    </w:p>
    <w:p w:rsidR="00BF1BF3" w:rsidRPr="00AE4773" w:rsidRDefault="00BF1BF3" w:rsidP="00BF1BF3">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b/>
          <w:bCs/>
          <w:i/>
          <w:iCs/>
          <w:color w:val="000000"/>
          <w:sz w:val="24"/>
          <w:szCs w:val="24"/>
          <w:lang w:eastAsia="fr-FR"/>
        </w:rPr>
        <w:t>Données après commercialisation :</w:t>
      </w:r>
      <w:r w:rsidRPr="00AE4773">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71"/>
        <w:gridCol w:w="7431"/>
      </w:tblGrid>
      <w:tr w:rsidR="00BF1BF3" w:rsidRPr="00AE4773" w:rsidTr="00823B76">
        <w:trPr>
          <w:tblCellSpacing w:w="7" w:type="dxa"/>
        </w:trPr>
        <w:tc>
          <w:tcPr>
            <w:tcW w:w="0" w:type="auto"/>
            <w:gridSpan w:val="2"/>
            <w:tcBorders>
              <w:top w:val="nil"/>
              <w:left w:val="nil"/>
              <w:bottom w:val="nil"/>
              <w:right w:val="nil"/>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7 : Effets indésirables après commercialisation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gastro-intestinales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Indéterminé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Pancréatite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hépatobiliaires</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Indéterminé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Hépatite (réversible après arrêt du médicament), anomalies des tests de la fonction hépatique (réversibles après arrêt du médicament) </w:t>
            </w:r>
          </w:p>
        </w:tc>
      </w:tr>
      <w:tr w:rsidR="00BF1BF3" w:rsidRPr="00AE4773"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Affections de la peau et du tissu sous-cutané</w:t>
            </w:r>
            <w:r w:rsidRPr="00AE4773">
              <w:rPr>
                <w:rFonts w:ascii="Times New Roman" w:eastAsia="Times New Roman" w:hAnsi="Times New Roman" w:cs="Times New Roman"/>
                <w:color w:val="000000"/>
                <w:sz w:val="24"/>
                <w:szCs w:val="24"/>
                <w:lang w:eastAsia="fr-FR"/>
              </w:rPr>
              <w:t xml:space="preserve"> </w:t>
            </w:r>
          </w:p>
        </w:tc>
      </w:tr>
      <w:tr w:rsidR="00BF1BF3"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Indéterminé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BF1BF3" w:rsidRPr="00AE4773" w:rsidRDefault="00BF1BF3"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Urticaire, lésions cutanées bulleuses ou </w:t>
            </w:r>
            <w:proofErr w:type="spellStart"/>
            <w:r w:rsidRPr="00AE4773">
              <w:rPr>
                <w:rFonts w:ascii="Times New Roman" w:eastAsia="Times New Roman" w:hAnsi="Times New Roman" w:cs="Times New Roman"/>
                <w:color w:val="000000"/>
                <w:sz w:val="24"/>
                <w:szCs w:val="24"/>
                <w:lang w:eastAsia="fr-FR"/>
              </w:rPr>
              <w:t>desquamantes</w:t>
            </w:r>
            <w:proofErr w:type="spellEnd"/>
            <w:r w:rsidRPr="00AE4773">
              <w:rPr>
                <w:rFonts w:ascii="Times New Roman" w:eastAsia="Times New Roman" w:hAnsi="Times New Roman" w:cs="Times New Roman"/>
                <w:color w:val="000000"/>
                <w:sz w:val="24"/>
                <w:szCs w:val="24"/>
                <w:lang w:eastAsia="fr-FR"/>
              </w:rPr>
              <w:t xml:space="preserve"> </w:t>
            </w:r>
          </w:p>
        </w:tc>
      </w:tr>
    </w:tbl>
    <w:p w:rsidR="00BF1BF3" w:rsidRPr="00AE4773" w:rsidRDefault="00BF1BF3" w:rsidP="00BF1BF3">
      <w:pPr>
        <w:spacing w:after="0" w:line="240" w:lineRule="auto"/>
        <w:rPr>
          <w:rFonts w:ascii="Times New Roman" w:eastAsia="Times New Roman" w:hAnsi="Times New Roman" w:cs="Times New Roman"/>
          <w:color w:val="000000"/>
          <w:sz w:val="24"/>
          <w:szCs w:val="24"/>
          <w:lang w:eastAsia="fr-FR"/>
        </w:rPr>
      </w:pP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1BF3"/>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BF1BF3"/>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10814</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2013-02-27T09:31:00Z</dcterms:created>
  <dcterms:modified xsi:type="dcterms:W3CDTF">2013-02-27T09:32:00Z</dcterms:modified>
</cp:coreProperties>
</file>